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C8C19" w14:textId="775418B2" w:rsidR="00CD4CA0" w:rsidRPr="00D6145E" w:rsidRDefault="00CD4CA0" w:rsidP="00CD4CA0">
      <w:pPr>
        <w:pStyle w:val="3GPPHeader"/>
        <w:snapToGrid w:val="0"/>
        <w:rPr>
          <w:sz w:val="22"/>
          <w:szCs w:val="22"/>
        </w:rPr>
      </w:pPr>
      <w:r w:rsidRPr="00D6145E">
        <w:rPr>
          <w:sz w:val="22"/>
          <w:szCs w:val="22"/>
        </w:rPr>
        <w:t xml:space="preserve">3GPP TSG RAN WG1#105-e                                </w:t>
      </w:r>
      <w:r w:rsidRPr="00D6145E">
        <w:rPr>
          <w:sz w:val="22"/>
          <w:szCs w:val="22"/>
        </w:rPr>
        <w:tab/>
      </w:r>
      <w:r w:rsidR="00421123" w:rsidRPr="00421123">
        <w:rPr>
          <w:sz w:val="22"/>
          <w:szCs w:val="22"/>
        </w:rPr>
        <w:t>R1-2105827</w:t>
      </w:r>
    </w:p>
    <w:p w14:paraId="6786BDAD" w14:textId="0A6A1F59" w:rsidR="005E1F4B" w:rsidRPr="00A45103" w:rsidRDefault="00CD4CA0" w:rsidP="00CD4CA0">
      <w:pPr>
        <w:pStyle w:val="3GPPHeader"/>
        <w:snapToGrid w:val="0"/>
        <w:rPr>
          <w:sz w:val="22"/>
          <w:szCs w:val="22"/>
        </w:rPr>
      </w:pPr>
      <w:r w:rsidRPr="00D6145E">
        <w:rPr>
          <w:sz w:val="22"/>
          <w:szCs w:val="22"/>
        </w:rPr>
        <w:t>e-Meeting, May 10</w:t>
      </w:r>
      <w:r w:rsidRPr="00C92C72">
        <w:rPr>
          <w:sz w:val="22"/>
          <w:szCs w:val="22"/>
          <w:vertAlign w:val="superscript"/>
        </w:rPr>
        <w:t>th</w:t>
      </w:r>
      <w:r w:rsidR="00C92C72">
        <w:rPr>
          <w:sz w:val="22"/>
          <w:szCs w:val="22"/>
        </w:rPr>
        <w:t xml:space="preserve"> </w:t>
      </w:r>
      <w:r w:rsidRPr="00D6145E">
        <w:rPr>
          <w:sz w:val="22"/>
          <w:szCs w:val="22"/>
        </w:rPr>
        <w:t>– May 27</w:t>
      </w:r>
      <w:r w:rsidRPr="00C92C72">
        <w:rPr>
          <w:sz w:val="22"/>
          <w:szCs w:val="22"/>
          <w:vertAlign w:val="superscript"/>
        </w:rPr>
        <w:t>th</w:t>
      </w:r>
      <w:r w:rsidRPr="00D6145E">
        <w:rPr>
          <w:sz w:val="22"/>
          <w:szCs w:val="22"/>
        </w:rPr>
        <w:t>, 2021</w:t>
      </w:r>
      <w:r w:rsidR="005E1F4B" w:rsidRPr="00A45103">
        <w:rPr>
          <w:sz w:val="22"/>
          <w:szCs w:val="22"/>
        </w:rPr>
        <w:tab/>
      </w:r>
    </w:p>
    <w:p w14:paraId="37278172" w14:textId="011F8334" w:rsidR="005E1F4B" w:rsidRPr="00A45103" w:rsidRDefault="005E1F4B" w:rsidP="009026AE">
      <w:pPr>
        <w:pStyle w:val="3GPPHeader"/>
        <w:snapToGrid w:val="0"/>
        <w:rPr>
          <w:sz w:val="22"/>
          <w:szCs w:val="22"/>
        </w:rPr>
      </w:pPr>
      <w:r w:rsidRPr="00A45103">
        <w:rPr>
          <w:sz w:val="22"/>
          <w:szCs w:val="22"/>
        </w:rPr>
        <w:tab/>
      </w:r>
    </w:p>
    <w:p w14:paraId="019DC5F7" w14:textId="5CD7D79D"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r w:rsidR="008D4BFE">
        <w:rPr>
          <w:sz w:val="22"/>
          <w:szCs w:val="22"/>
        </w:rPr>
        <w:t>, ITRI, III</w:t>
      </w:r>
    </w:p>
    <w:p w14:paraId="1CC03627" w14:textId="01EE3449"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EA501D" w:rsidRPr="00EA501D">
        <w:rPr>
          <w:sz w:val="22"/>
          <w:szCs w:val="22"/>
        </w:rPr>
        <w:t>Enhancements on HARQ</w:t>
      </w:r>
      <w:r w:rsidR="00C9254C">
        <w:rPr>
          <w:sz w:val="22"/>
          <w:szCs w:val="22"/>
        </w:rPr>
        <w:t xml:space="preserve"> </w:t>
      </w:r>
      <w:r w:rsidR="00584790">
        <w:rPr>
          <w:sz w:val="22"/>
          <w:szCs w:val="22"/>
        </w:rPr>
        <w:t>to NB-IoT</w:t>
      </w:r>
      <w:r w:rsidR="0093153F">
        <w:rPr>
          <w:sz w:val="22"/>
          <w:szCs w:val="22"/>
        </w:rPr>
        <w:t xml:space="preserve"> </w:t>
      </w:r>
      <w:r w:rsidR="00F07BD9">
        <w:rPr>
          <w:sz w:val="22"/>
          <w:szCs w:val="22"/>
        </w:rPr>
        <w:t>in NTN</w:t>
      </w:r>
    </w:p>
    <w:p w14:paraId="14EA2A19" w14:textId="2515C4AB"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EA501D">
        <w:rPr>
          <w:sz w:val="22"/>
          <w:szCs w:val="22"/>
        </w:rPr>
        <w:t>4</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04F8AA28" w14:textId="7FD86DD9" w:rsidR="00824DF7" w:rsidRPr="001E6B16" w:rsidRDefault="00824DF7" w:rsidP="00824DF7">
      <w:pPr>
        <w:spacing w:after="240"/>
      </w:pPr>
      <w:r>
        <w:t>In RAN1#104</w:t>
      </w:r>
      <w:r w:rsidR="008E1A41">
        <w:t>b</w:t>
      </w:r>
      <w:r>
        <w:t>-e, the following agreement</w:t>
      </w:r>
      <w:r w:rsidR="008E1A41">
        <w:t xml:space="preserve"> was</w:t>
      </w:r>
      <w:r>
        <w:t xml:space="preserve"> made</w:t>
      </w:r>
      <w:r w:rsidRPr="001E6B16">
        <w:t>.</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p w14:paraId="1BF41CBA" w14:textId="3E65B1C7" w:rsidR="008E1A41" w:rsidRDefault="008E1A41" w:rsidP="008E1A41">
            <w:pPr>
              <w:spacing w:after="0"/>
              <w:rPr>
                <w:lang w:eastAsia="x-none"/>
              </w:rPr>
            </w:pPr>
            <w:r w:rsidRPr="008E1A41">
              <w:rPr>
                <w:b/>
                <w:bCs/>
                <w:highlight w:val="green"/>
                <w:lang w:eastAsia="x-none"/>
              </w:rPr>
              <w:t>Agreement</w:t>
            </w:r>
            <w:r>
              <w:rPr>
                <w:b/>
                <w:bCs/>
                <w:lang w:eastAsia="x-none"/>
              </w:rPr>
              <w:t xml:space="preserve"> </w:t>
            </w:r>
            <w:r w:rsidRPr="008E1A41">
              <w:rPr>
                <w:lang w:eastAsia="x-none"/>
              </w:rPr>
              <w:t>in RAN1#104b-e</w:t>
            </w:r>
          </w:p>
          <w:p w14:paraId="6C793EAF" w14:textId="389B44A3" w:rsidR="00727EDB" w:rsidRDefault="008E1A41" w:rsidP="00727EDB">
            <w:pPr>
              <w:rPr>
                <w:lang w:eastAsia="x-none"/>
              </w:rPr>
            </w:pPr>
            <w:r w:rsidRPr="00E8017C">
              <w:rPr>
                <w:lang w:eastAsia="x-none"/>
              </w:rPr>
              <w:t>Increasing the number of HARQ processes for NB-IoT and for eMTC in NTN is</w:t>
            </w:r>
            <w:r>
              <w:rPr>
                <w:lang w:eastAsia="x-none"/>
              </w:rPr>
              <w:t xml:space="preserve"> recommended</w:t>
            </w:r>
            <w:r w:rsidRPr="00E8017C">
              <w:rPr>
                <w:lang w:eastAsia="x-none"/>
              </w:rPr>
              <w:t xml:space="preserve"> not </w:t>
            </w:r>
            <w:r>
              <w:rPr>
                <w:lang w:eastAsia="x-none"/>
              </w:rPr>
              <w:t xml:space="preserve">to be </w:t>
            </w:r>
            <w:r w:rsidRPr="00E8017C">
              <w:rPr>
                <w:lang w:eastAsia="x-none"/>
              </w:rPr>
              <w:t>supported in Rel-17</w:t>
            </w:r>
            <w:r>
              <w:rPr>
                <w:lang w:eastAsia="x-none"/>
              </w:rPr>
              <w:t>.</w:t>
            </w:r>
          </w:p>
          <w:p w14:paraId="772D7922" w14:textId="746AEC67" w:rsidR="00727EDB" w:rsidRPr="00AC729F" w:rsidRDefault="00727EDB" w:rsidP="00727EDB">
            <w:pPr>
              <w:spacing w:after="0"/>
            </w:pPr>
            <w:r w:rsidRPr="00727EDB">
              <w:rPr>
                <w:b/>
                <w:bCs/>
                <w:highlight w:val="green"/>
              </w:rPr>
              <w:t>Agreement</w:t>
            </w:r>
            <w:r>
              <w:rPr>
                <w:b/>
                <w:bCs/>
              </w:rPr>
              <w:t xml:space="preserve"> </w:t>
            </w:r>
            <w:r w:rsidRPr="00727EDB">
              <w:t>in RAN2#113-e</w:t>
            </w:r>
          </w:p>
          <w:p w14:paraId="268CF56E" w14:textId="77777777" w:rsidR="00727EDB" w:rsidRPr="006E0D8B" w:rsidRDefault="00727EDB" w:rsidP="00727EDB">
            <w:pPr>
              <w:pStyle w:val="ListParagraph"/>
              <w:numPr>
                <w:ilvl w:val="0"/>
                <w:numId w:val="37"/>
              </w:numPr>
            </w:pPr>
            <w:r w:rsidRPr="006E0D8B">
              <w:t>No of HARQ processes is R1 scope</w:t>
            </w:r>
          </w:p>
          <w:p w14:paraId="239FC67B" w14:textId="00BDA52A" w:rsidR="00727EDB" w:rsidRPr="00824DF7" w:rsidRDefault="00727EDB" w:rsidP="00727EDB">
            <w:pPr>
              <w:pStyle w:val="ListParagraph"/>
              <w:numPr>
                <w:ilvl w:val="0"/>
                <w:numId w:val="37"/>
              </w:numPr>
            </w:pPr>
            <w:r w:rsidRPr="006E0D8B">
              <w:t xml:space="preserve">Enable / disable HARQ feedback is R2 scope </w:t>
            </w:r>
          </w:p>
        </w:tc>
      </w:tr>
    </w:tbl>
    <w:p w14:paraId="4286B677" w14:textId="77777777" w:rsidR="00824DF7" w:rsidRDefault="00824DF7" w:rsidP="00824DF7">
      <w:pPr>
        <w:spacing w:before="240"/>
      </w:pPr>
      <w:r>
        <w:t xml:space="preserve">In this contribution, </w:t>
      </w:r>
      <w:r>
        <w:rPr>
          <w:rFonts w:eastAsia="SimSun"/>
          <w:szCs w:val="22"/>
          <w:lang w:eastAsia="ja-JP"/>
        </w:rPr>
        <w:t xml:space="preserve">to support </w:t>
      </w:r>
      <w:r w:rsidRPr="004A33A8">
        <w:rPr>
          <w:rFonts w:eastAsia="SimSun"/>
          <w:szCs w:val="22"/>
          <w:lang w:eastAsia="ja-JP"/>
        </w:rPr>
        <w:t>intermittent delay-tolerant small packet transmission</w:t>
      </w:r>
      <w:r>
        <w:rPr>
          <w:rFonts w:eastAsia="SimSun"/>
          <w:szCs w:val="22"/>
          <w:lang w:eastAsia="ja-JP"/>
        </w:rPr>
        <w:t xml:space="preserve">, </w:t>
      </w:r>
      <w:r>
        <w:t>we will provide our views on</w:t>
      </w:r>
    </w:p>
    <w:p w14:paraId="4512B88A" w14:textId="0196CF61" w:rsidR="00824DF7" w:rsidRDefault="00727EDB" w:rsidP="00824DF7">
      <w:pPr>
        <w:pStyle w:val="ListParagraph"/>
        <w:numPr>
          <w:ilvl w:val="0"/>
          <w:numId w:val="31"/>
        </w:numPr>
        <w:spacing w:before="120"/>
      </w:pPr>
      <w:r>
        <w:t>disabling HARQ feedback</w:t>
      </w:r>
    </w:p>
    <w:p w14:paraId="119E70B1" w14:textId="01971905" w:rsidR="0004466C" w:rsidRDefault="0004466C" w:rsidP="0004466C">
      <w:pPr>
        <w:pStyle w:val="ListParagraph"/>
        <w:numPr>
          <w:ilvl w:val="0"/>
          <w:numId w:val="31"/>
        </w:numPr>
      </w:pPr>
      <w:r w:rsidRPr="0004466C">
        <w:t>PDCCH monitoring</w:t>
      </w:r>
    </w:p>
    <w:p w14:paraId="491C27BF" w14:textId="1752947F" w:rsidR="00EC2855" w:rsidRDefault="00EC2855" w:rsidP="00EC2855">
      <w:pPr>
        <w:pStyle w:val="Heading1"/>
      </w:pPr>
      <w:r>
        <w:t>Discussion</w:t>
      </w:r>
    </w:p>
    <w:p w14:paraId="5E707CBD" w14:textId="00C4DCEA" w:rsidR="006B0056" w:rsidRDefault="00727EDB" w:rsidP="006B0056">
      <w:pPr>
        <w:pStyle w:val="Heading2"/>
      </w:pPr>
      <w:r>
        <w:t>Disabling HARQ feedback</w:t>
      </w:r>
    </w:p>
    <w:p w14:paraId="1B5BA971" w14:textId="3FDFB2E4" w:rsidR="00727EDB" w:rsidRDefault="00727EDB" w:rsidP="00727EDB">
      <w:r>
        <w:t xml:space="preserve">As pointed out in </w:t>
      </w:r>
      <w:r w:rsidRPr="00727EDB">
        <w:tab/>
      </w:r>
      <w:hyperlink r:id="rId11" w:history="1">
        <w:r w:rsidRPr="002F7DCC">
          <w:rPr>
            <w:rStyle w:val="Hyperlink"/>
          </w:rPr>
          <w:t>R1-2103805</w:t>
        </w:r>
      </w:hyperlink>
      <w:r>
        <w:t xml:space="preserve">, </w:t>
      </w:r>
      <w:r w:rsidR="002F7DCC">
        <w:t>disabling HARQ feedback is for further study, see updated proposal 2-1.</w:t>
      </w:r>
    </w:p>
    <w:p w14:paraId="081D7AB8" w14:textId="683247E6" w:rsidR="00727EDB" w:rsidRDefault="00727EDB" w:rsidP="00727EDB">
      <w:r w:rsidRPr="00562D9A">
        <w:t>Updated Proposal 2-1</w:t>
      </w:r>
      <w:r w:rsidR="002F7DCC">
        <w:t xml:space="preserve">: </w:t>
      </w:r>
      <w:r>
        <w:t xml:space="preserve">For NB-IoT and eMTC in NTN, further study the impact of disabling HARQ feedback on throughput, </w:t>
      </w:r>
      <w:r w:rsidR="00562D9A">
        <w:t>latency,</w:t>
      </w:r>
      <w:r>
        <w:t xml:space="preserve"> and power consumption. </w:t>
      </w:r>
    </w:p>
    <w:p w14:paraId="1D800B09" w14:textId="44004C37" w:rsidR="00562D9A" w:rsidRDefault="002F7DCC" w:rsidP="00562D9A">
      <w:r>
        <w:t xml:space="preserve">However, </w:t>
      </w:r>
      <w:r w:rsidR="00562D9A">
        <w:t xml:space="preserve">as agreed in RAN2#113-e, enable and disable HARQ feedback might be R2 scope. </w:t>
      </w:r>
    </w:p>
    <w:p w14:paraId="5A78B16C" w14:textId="3F4E7298" w:rsidR="00562D9A" w:rsidRDefault="00562D9A" w:rsidP="00C8743C">
      <w:pPr>
        <w:pStyle w:val="Observation"/>
      </w:pPr>
      <w:bookmarkStart w:id="0" w:name="_Toc71202647"/>
      <w:r>
        <w:t>RAN2 has agreed that e</w:t>
      </w:r>
      <w:r w:rsidRPr="006E0D8B">
        <w:t xml:space="preserve">nable </w:t>
      </w:r>
      <w:r>
        <w:t>and</w:t>
      </w:r>
      <w:r w:rsidRPr="006E0D8B">
        <w:t xml:space="preserve"> disable HARQ feedback is R2 scope</w:t>
      </w:r>
      <w:r>
        <w:t>.</w:t>
      </w:r>
      <w:bookmarkEnd w:id="0"/>
    </w:p>
    <w:p w14:paraId="1CC6D404" w14:textId="4A4548B9" w:rsidR="00727EDB" w:rsidRDefault="00562D9A" w:rsidP="00562D9A">
      <w:pPr>
        <w:spacing w:after="240"/>
      </w:pPr>
      <w:r>
        <w:t>In this release, HARQ feedback can be disabled for some cases, e.g., if the TA timer is not running. The MAC entity simply does no indicate the generated positive or negative acknowledgement to the physical layer, see TS 36.321.</w:t>
      </w:r>
    </w:p>
    <w:tbl>
      <w:tblPr>
        <w:tblStyle w:val="TableGrid"/>
        <w:tblW w:w="0" w:type="auto"/>
        <w:tblLook w:val="04A0" w:firstRow="1" w:lastRow="0" w:firstColumn="1" w:lastColumn="0" w:noHBand="0" w:noVBand="1"/>
      </w:tblPr>
      <w:tblGrid>
        <w:gridCol w:w="9350"/>
      </w:tblGrid>
      <w:tr w:rsidR="00562D9A" w14:paraId="0857D79A" w14:textId="77777777" w:rsidTr="00562D9A">
        <w:tc>
          <w:tcPr>
            <w:tcW w:w="9350" w:type="dxa"/>
          </w:tcPr>
          <w:p w14:paraId="6046DB6D" w14:textId="439FDC50" w:rsidR="00562D9A" w:rsidRDefault="00562D9A" w:rsidP="00562D9A">
            <w:r w:rsidRPr="00562D9A">
              <w:rPr>
                <w:b/>
                <w:bCs/>
              </w:rPr>
              <w:t>3GPP TS 36.321</w:t>
            </w:r>
            <w:r w:rsidRPr="00562D9A">
              <w:t xml:space="preserve"> V16.4.0 (2021-03)</w:t>
            </w:r>
            <w:r>
              <w:t xml:space="preserve">, clause </w:t>
            </w:r>
            <w:r w:rsidRPr="00562D9A">
              <w:t>5.3.2.2</w:t>
            </w:r>
          </w:p>
          <w:p w14:paraId="6056DF2E" w14:textId="575E85FB" w:rsidR="00562D9A" w:rsidRDefault="00562D9A" w:rsidP="00562D9A">
            <w:r>
              <w:t>if the HARQ process is associated with a transmission indicated with a Temporary C-RNTI and the Contention Resolution is not yet successful (see clause 5.1.5); or</w:t>
            </w:r>
          </w:p>
          <w:p w14:paraId="7FBCD03C" w14:textId="13C1E274" w:rsidR="00562D9A" w:rsidRDefault="00562D9A" w:rsidP="00562D9A">
            <w:r>
              <w:t>if the HARQ process is equal to the broadcast process; or</w:t>
            </w:r>
          </w:p>
          <w:p w14:paraId="342B6F67" w14:textId="30D4771E" w:rsidR="00562D9A" w:rsidRDefault="00562D9A" w:rsidP="00562D9A">
            <w:r>
              <w:t>if the HARQ process is not associated with a transmission indicated with a PUR-RNTI and the timeAlignmentTimer, associated with the TAG containing the serving cell on which the HARQ feedback is to be transmitted, is stopped or expired:</w:t>
            </w:r>
          </w:p>
          <w:p w14:paraId="61FB7F84" w14:textId="7A7861C6" w:rsidR="00562D9A" w:rsidRDefault="00562D9A" w:rsidP="00562D9A">
            <w:pPr>
              <w:pStyle w:val="ListParagraph"/>
              <w:numPr>
                <w:ilvl w:val="0"/>
                <w:numId w:val="31"/>
              </w:numPr>
            </w:pPr>
            <w:r>
              <w:t>do not indicate the generated positive or negative acknowledgement to the physical layer.</w:t>
            </w:r>
          </w:p>
        </w:tc>
      </w:tr>
    </w:tbl>
    <w:p w14:paraId="77C78127" w14:textId="22BE003E" w:rsidR="00674BAC" w:rsidRDefault="001F33F9" w:rsidP="00C8743C">
      <w:pPr>
        <w:pStyle w:val="Observation"/>
      </w:pPr>
      <w:bookmarkStart w:id="1" w:name="_Toc71202648"/>
      <w:r>
        <w:lastRenderedPageBreak/>
        <w:t>In this release, the MAC entity can disable HARQ feedback by not indicating to the PHY layer.</w:t>
      </w:r>
      <w:bookmarkEnd w:id="1"/>
    </w:p>
    <w:p w14:paraId="6E1C1453" w14:textId="2E05B581" w:rsidR="001F33F9" w:rsidRPr="00727EDB" w:rsidRDefault="001F33F9" w:rsidP="00C8743C">
      <w:pPr>
        <w:pStyle w:val="Proposal"/>
        <w:spacing w:before="120"/>
        <w:ind w:left="1310" w:hanging="1310"/>
      </w:pPr>
      <w:bookmarkStart w:id="2" w:name="_Toc71202649"/>
      <w:r w:rsidRPr="001F33F9">
        <w:t>Disabling HARQ feedback</w:t>
      </w:r>
      <w:r>
        <w:t xml:space="preserve"> for NB-IoT over NTN </w:t>
      </w:r>
      <w:r w:rsidRPr="001F33F9">
        <w:t xml:space="preserve">is recommended not to be </w:t>
      </w:r>
      <w:r>
        <w:t>discussed in RAN1.</w:t>
      </w:r>
      <w:bookmarkEnd w:id="2"/>
    </w:p>
    <w:p w14:paraId="0C3B29B1" w14:textId="77777777" w:rsidR="006B0056" w:rsidRDefault="006B0056" w:rsidP="00C8743C">
      <w:pPr>
        <w:spacing w:after="0"/>
      </w:pPr>
    </w:p>
    <w:p w14:paraId="4DC085F6" w14:textId="677C3F88" w:rsidR="006B0056" w:rsidRDefault="0004466C" w:rsidP="006B0056">
      <w:pPr>
        <w:pStyle w:val="Heading2"/>
      </w:pPr>
      <w:r>
        <w:t>PDCCH monitoring</w:t>
      </w:r>
    </w:p>
    <w:p w14:paraId="2F41C3A4" w14:textId="35F836B1" w:rsidR="009710EC" w:rsidRDefault="001F33F9" w:rsidP="006B0056">
      <w:r>
        <w:t xml:space="preserve">As pointed out in </w:t>
      </w:r>
      <w:r w:rsidRPr="00727EDB">
        <w:tab/>
      </w:r>
      <w:hyperlink r:id="rId12" w:history="1">
        <w:r w:rsidRPr="002F7DCC">
          <w:rPr>
            <w:rStyle w:val="Hyperlink"/>
          </w:rPr>
          <w:t>R1-2103805</w:t>
        </w:r>
      </w:hyperlink>
      <w:r w:rsidR="009007C9">
        <w:t xml:space="preserve">, </w:t>
      </w:r>
      <w:r>
        <w:t>enhancement on the monitoring of a PDCCH for 2 HARQ processes is FFS</w:t>
      </w:r>
      <w:r w:rsidR="009710EC">
        <w:t xml:space="preserve">. </w:t>
      </w:r>
    </w:p>
    <w:p w14:paraId="4E8A2D47" w14:textId="0E56E26B" w:rsidR="001F33F9" w:rsidRPr="001F33F9" w:rsidRDefault="001F33F9" w:rsidP="0075343A">
      <w:r w:rsidRPr="001F33F9">
        <w:t>Proposal 4-2: Further discuss in RAN1#105 the monitoring of a PDCCH which indicates ACK/NACK feedback after transmission of a PUSCH when the number of configured HARQ processes is 2 (for NB-IoT in NTN) or larger than 1 (for eMTC in NTN).</w:t>
      </w:r>
    </w:p>
    <w:p w14:paraId="2FED32CA" w14:textId="77777777" w:rsidR="001F33F9" w:rsidRPr="0075343A" w:rsidRDefault="001F33F9" w:rsidP="0075343A">
      <w:pPr>
        <w:rPr>
          <w:u w:val="single"/>
        </w:rPr>
      </w:pPr>
      <w:r w:rsidRPr="0075343A">
        <w:rPr>
          <w:u w:val="single"/>
        </w:rPr>
        <w:t>Problem statement</w:t>
      </w:r>
    </w:p>
    <w:p w14:paraId="39C24ED8" w14:textId="77777777" w:rsidR="001F33F9" w:rsidRDefault="001F33F9" w:rsidP="0075343A">
      <w:pPr>
        <w:spacing w:after="240"/>
        <w:rPr>
          <w:lang w:eastAsia="zh-TW"/>
        </w:rPr>
      </w:pPr>
      <w:r w:rsidRPr="001F2C0E">
        <w:rPr>
          <w:lang w:eastAsia="zh-TW"/>
        </w:rPr>
        <w:t>If a</w:t>
      </w:r>
      <w:r>
        <w:rPr>
          <w:lang w:eastAsia="zh-TW"/>
        </w:rPr>
        <w:t>n</w:t>
      </w:r>
      <w:r w:rsidRPr="001F2C0E">
        <w:rPr>
          <w:lang w:eastAsia="zh-TW"/>
        </w:rPr>
        <w:t xml:space="preserve"> NB-IoT UE is configured with </w:t>
      </w:r>
      <w:r>
        <w:rPr>
          <w:lang w:eastAsia="zh-TW"/>
        </w:rPr>
        <w:t xml:space="preserve">two HARQ processes </w:t>
      </w:r>
      <w:r w:rsidRPr="001F2C0E">
        <w:rPr>
          <w:lang w:eastAsia="zh-TW"/>
        </w:rPr>
        <w:t>and if the UE has a</w:t>
      </w:r>
      <w:r>
        <w:rPr>
          <w:lang w:eastAsia="zh-TW"/>
        </w:rPr>
        <w:t>n</w:t>
      </w:r>
      <w:r w:rsidRPr="001F2C0E">
        <w:rPr>
          <w:lang w:eastAsia="zh-TW"/>
        </w:rPr>
        <w:t xml:space="preserve"> NPUSCH transmission ending in subframe n</w:t>
      </w:r>
      <w:r>
        <w:rPr>
          <w:lang w:eastAsia="zh-TW"/>
        </w:rPr>
        <w:t xml:space="preserve">, the UE is not required to receive transmissions in the Type B half-duplex guard periods for FDD. </w:t>
      </w:r>
    </w:p>
    <w:p w14:paraId="6E5777AD" w14:textId="77777777" w:rsidR="001F33F9" w:rsidRDefault="001F33F9" w:rsidP="001F33F9">
      <w:pPr>
        <w:rPr>
          <w:lang w:eastAsia="zh-TW"/>
        </w:rPr>
      </w:pPr>
      <w:r>
        <w:rPr>
          <w:noProof/>
        </w:rPr>
        <w:drawing>
          <wp:inline distT="0" distB="0" distL="0" distR="0" wp14:anchorId="3D83B0EC" wp14:editId="00271DE9">
            <wp:extent cx="5943600" cy="1901825"/>
            <wp:effectExtent l="0" t="0" r="0" b="3175"/>
            <wp:docPr id="25" name="Picture 2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901825"/>
                    </a:xfrm>
                    <a:prstGeom prst="rect">
                      <a:avLst/>
                    </a:prstGeom>
                  </pic:spPr>
                </pic:pic>
              </a:graphicData>
            </a:graphic>
          </wp:inline>
        </w:drawing>
      </w:r>
    </w:p>
    <w:p w14:paraId="2C97256E" w14:textId="3F905567" w:rsidR="001F33F9" w:rsidRDefault="0075343A" w:rsidP="0075343A">
      <w:pPr>
        <w:pStyle w:val="Caption"/>
      </w:pPr>
      <w:r>
        <w:t xml:space="preserve">Figure </w:t>
      </w:r>
      <w:r>
        <w:fldChar w:fldCharType="begin"/>
      </w:r>
      <w:r>
        <w:instrText xml:space="preserve"> SEQ Figure \* ARABIC </w:instrText>
      </w:r>
      <w:r>
        <w:fldChar w:fldCharType="separate"/>
      </w:r>
      <w:r>
        <w:rPr>
          <w:noProof/>
        </w:rPr>
        <w:t>1</w:t>
      </w:r>
      <w:r>
        <w:fldChar w:fldCharType="end"/>
      </w:r>
      <w:r w:rsidR="001F33F9">
        <w:t xml:space="preserve">: </w:t>
      </w:r>
      <w:r w:rsidR="001F33F9" w:rsidRPr="0026542A">
        <w:t>Type B half-duplex guard periods</w:t>
      </w:r>
      <w:r w:rsidR="001F33F9">
        <w:t xml:space="preserve"> for FDD in NB-IoT</w:t>
      </w:r>
    </w:p>
    <w:p w14:paraId="4B807592" w14:textId="7123DF14" w:rsidR="00AE575E" w:rsidRDefault="0075343A" w:rsidP="0075343A">
      <w:pPr>
        <w:rPr>
          <w:lang w:eastAsia="zh-TW"/>
        </w:rPr>
      </w:pPr>
      <w:r w:rsidRPr="0075343A">
        <w:rPr>
          <w:lang w:eastAsia="zh-TW"/>
        </w:rPr>
        <w:t>However, an NTN NB-IoT UE may experience longer RTT than 3ms, e.g., 541ms of RTT for GEO and 25ms of RTT for LEO. Regarding power saving purpose, further enhancement shall be considered.</w:t>
      </w:r>
    </w:p>
    <w:p w14:paraId="1A602862" w14:textId="77777777" w:rsidR="0075343A" w:rsidRPr="0075343A" w:rsidRDefault="0075343A" w:rsidP="0075343A">
      <w:pPr>
        <w:rPr>
          <w:u w:val="single"/>
          <w:lang w:eastAsia="zh-TW"/>
        </w:rPr>
      </w:pPr>
      <w:r w:rsidRPr="0075343A">
        <w:rPr>
          <w:u w:val="single"/>
          <w:lang w:eastAsia="zh-TW"/>
        </w:rPr>
        <w:t>Possible solutions</w:t>
      </w:r>
    </w:p>
    <w:p w14:paraId="0832077E" w14:textId="75F9ED96" w:rsidR="0075343A" w:rsidRDefault="0075343A" w:rsidP="0075343A">
      <w:pPr>
        <w:rPr>
          <w:lang w:eastAsia="zh-TW"/>
        </w:rPr>
      </w:pPr>
      <w:r>
        <w:rPr>
          <w:lang w:eastAsia="zh-TW"/>
        </w:rPr>
        <w:t>UE may skip NPDCCH monitoring for the same HARQ process within the RTT for sending the NPUSCH transmission. Also, the processing time for eNB might be considered.</w:t>
      </w:r>
    </w:p>
    <w:p w14:paraId="3CE68B82" w14:textId="7C7BAB11" w:rsidR="0075343A" w:rsidRDefault="0075343A" w:rsidP="0075343A">
      <w:pPr>
        <w:rPr>
          <w:u w:val="single"/>
          <w:lang w:eastAsia="zh-TW"/>
        </w:rPr>
      </w:pPr>
      <w:r w:rsidRPr="0075343A">
        <w:rPr>
          <w:u w:val="single"/>
          <w:lang w:eastAsia="zh-TW"/>
        </w:rPr>
        <w:t>Possible spec impact</w:t>
      </w:r>
    </w:p>
    <w:p w14:paraId="2F5EA755" w14:textId="4A730E8F" w:rsidR="0075343A" w:rsidRDefault="0075343A" w:rsidP="0075343A">
      <w:pPr>
        <w:spacing w:after="240"/>
        <w:rPr>
          <w:lang w:eastAsia="zh-TW"/>
        </w:rPr>
      </w:pPr>
      <w:r w:rsidRPr="0075343A">
        <w:rPr>
          <w:lang w:eastAsia="zh-TW"/>
        </w:rPr>
        <w:t>See clause 16.6 of 3GPP TS 36.213 V16.5.0 (2021-03)</w:t>
      </w:r>
      <w:r>
        <w:rPr>
          <w:lang w:eastAsia="zh-TW"/>
        </w:rPr>
        <w:t>.</w:t>
      </w:r>
    </w:p>
    <w:tbl>
      <w:tblPr>
        <w:tblStyle w:val="TableGrid"/>
        <w:tblW w:w="0" w:type="auto"/>
        <w:tblLook w:val="04A0" w:firstRow="1" w:lastRow="0" w:firstColumn="1" w:lastColumn="0" w:noHBand="0" w:noVBand="1"/>
      </w:tblPr>
      <w:tblGrid>
        <w:gridCol w:w="9350"/>
      </w:tblGrid>
      <w:tr w:rsidR="0075343A" w14:paraId="09838DCB" w14:textId="77777777" w:rsidTr="0075343A">
        <w:tc>
          <w:tcPr>
            <w:tcW w:w="9350" w:type="dxa"/>
          </w:tcPr>
          <w:p w14:paraId="52F9D9E8" w14:textId="389802A2" w:rsidR="0075343A" w:rsidRDefault="0075343A" w:rsidP="005345AF">
            <w:pPr>
              <w:rPr>
                <w:lang w:eastAsia="zh-TW"/>
              </w:rPr>
            </w:pPr>
            <w:r w:rsidRPr="0075343A">
              <w:rPr>
                <w:b/>
                <w:bCs/>
                <w:lang w:eastAsia="zh-TW"/>
              </w:rPr>
              <w:t>3GPP TS 36.213</w:t>
            </w:r>
            <w:r w:rsidRPr="0075343A">
              <w:rPr>
                <w:lang w:eastAsia="zh-TW"/>
              </w:rPr>
              <w:t xml:space="preserve"> V16.5.0</w:t>
            </w:r>
            <w:r>
              <w:rPr>
                <w:lang w:eastAsia="zh-TW"/>
              </w:rPr>
              <w:t>, Clause 16.6.</w:t>
            </w:r>
          </w:p>
          <w:p w14:paraId="0D5B17E9" w14:textId="5555ADD0" w:rsidR="0075343A" w:rsidRPr="0075343A" w:rsidRDefault="0075343A" w:rsidP="005345AF">
            <w:pPr>
              <w:rPr>
                <w:lang w:eastAsia="zh-TW"/>
              </w:rPr>
            </w:pPr>
            <w:r w:rsidRPr="0075343A">
              <w:rPr>
                <w:lang w:eastAsia="zh-TW"/>
              </w:rPr>
              <w:t>If a NB-IoT UE is configured with higher layer parameter twoHARQ-ProcessesConfig</w:t>
            </w:r>
          </w:p>
          <w:p w14:paraId="7AB109E7" w14:textId="77777777" w:rsidR="0075343A" w:rsidRPr="0075343A" w:rsidRDefault="0075343A" w:rsidP="005345AF">
            <w:pPr>
              <w:rPr>
                <w:lang w:eastAsia="zh-TW"/>
              </w:rPr>
            </w:pPr>
            <w:r w:rsidRPr="0075343A">
              <w:rPr>
                <w:lang w:eastAsia="zh-TW"/>
              </w:rPr>
              <w:t>- and if the UE has a NPUSCH transmission ending in subframe n,</w:t>
            </w:r>
          </w:p>
          <w:p w14:paraId="4971B0DF" w14:textId="66C68CFC" w:rsidR="0075343A" w:rsidRPr="0075343A" w:rsidRDefault="0075343A" w:rsidP="005345AF">
            <w:pPr>
              <w:rPr>
                <w:lang w:eastAsia="zh-TW"/>
              </w:rPr>
            </w:pPr>
            <w:r w:rsidRPr="0075343A">
              <w:rPr>
                <w:lang w:eastAsia="zh-TW"/>
              </w:rPr>
              <w:t>- the UE is not required to receive transmissions in the Type B half-duplex guard periods as specified in [3]for</w:t>
            </w:r>
            <w:r>
              <w:rPr>
                <w:lang w:eastAsia="zh-TW"/>
              </w:rPr>
              <w:t xml:space="preserve"> </w:t>
            </w:r>
            <w:r w:rsidRPr="0075343A">
              <w:rPr>
                <w:lang w:eastAsia="zh-TW"/>
              </w:rPr>
              <w:t>FDD ; and</w:t>
            </w:r>
          </w:p>
          <w:p w14:paraId="3EBA3B59" w14:textId="18D16D7E" w:rsidR="0075343A" w:rsidRDefault="0075343A" w:rsidP="005345AF">
            <w:pPr>
              <w:rPr>
                <w:lang w:eastAsia="zh-TW"/>
              </w:rPr>
            </w:pPr>
            <w:r w:rsidRPr="0075343A">
              <w:rPr>
                <w:lang w:eastAsia="zh-TW"/>
              </w:rPr>
              <w:t>- the UE is not expected to receive an NPDCCH with DCI format N0/N1 for the same HARQ process ID as</w:t>
            </w:r>
            <w:r>
              <w:rPr>
                <w:lang w:eastAsia="zh-TW"/>
              </w:rPr>
              <w:t xml:space="preserve"> </w:t>
            </w:r>
            <w:r w:rsidRPr="0075343A">
              <w:rPr>
                <w:lang w:eastAsia="zh-TW"/>
              </w:rPr>
              <w:t>the NPUSCH transmission in any subframe starting from subframe n+1 to subframe n+3;</w:t>
            </w:r>
          </w:p>
        </w:tc>
      </w:tr>
    </w:tbl>
    <w:p w14:paraId="3B0262E2" w14:textId="7AD2245B" w:rsidR="0075343A" w:rsidRDefault="0075343A" w:rsidP="005345AF">
      <w:pPr>
        <w:pStyle w:val="Proposal"/>
        <w:spacing w:before="240" w:after="240"/>
        <w:ind w:left="1310" w:hanging="1310"/>
        <w:rPr>
          <w:lang w:eastAsia="zh-TW"/>
        </w:rPr>
      </w:pPr>
      <w:bookmarkStart w:id="3" w:name="_Toc71202650"/>
      <w:r w:rsidRPr="0075343A">
        <w:rPr>
          <w:lang w:eastAsia="zh-TW"/>
        </w:rPr>
        <w:lastRenderedPageBreak/>
        <w:t>For an NTN UE configured with one HARQ process, when HARQ feedback is enabled, the UE does not monitor PDCCH until the RTT time has elapsed from the end of the PUSCH.</w:t>
      </w:r>
      <w:bookmarkEnd w:id="3"/>
    </w:p>
    <w:p w14:paraId="6AC99E02" w14:textId="68CD5C3A" w:rsidR="005345AF" w:rsidRPr="005345AF" w:rsidRDefault="005345AF" w:rsidP="005345AF">
      <w:pPr>
        <w:rPr>
          <w:lang w:eastAsia="zh-TW"/>
        </w:rPr>
      </w:pPr>
      <w:r w:rsidRPr="005345AF">
        <w:rPr>
          <w:lang w:eastAsia="zh-TW"/>
        </w:rPr>
        <w:t>Nota that this also has a RAN2 impact when a DRX cycle is configured. Related DRX Timers are listed below.</w:t>
      </w:r>
    </w:p>
    <w:p w14:paraId="29581841" w14:textId="725F3250" w:rsidR="005345AF" w:rsidRPr="005345AF" w:rsidRDefault="005345AF" w:rsidP="005345AF">
      <w:pPr>
        <w:pStyle w:val="ListParagraph"/>
        <w:numPr>
          <w:ilvl w:val="0"/>
          <w:numId w:val="31"/>
        </w:numPr>
        <w:rPr>
          <w:lang w:eastAsia="zh-TW"/>
        </w:rPr>
      </w:pPr>
      <w:r w:rsidRPr="005345AF">
        <w:rPr>
          <w:lang w:eastAsia="zh-TW"/>
        </w:rPr>
        <w:t>drx-RetransmissionTimer: the MAC entity monitors PDCCH in PDCCH-subframes.</w:t>
      </w:r>
    </w:p>
    <w:p w14:paraId="79863BFC" w14:textId="086D2F64" w:rsidR="005345AF" w:rsidRPr="005345AF" w:rsidRDefault="005345AF" w:rsidP="005345AF">
      <w:pPr>
        <w:pStyle w:val="ListParagraph"/>
        <w:numPr>
          <w:ilvl w:val="0"/>
          <w:numId w:val="31"/>
        </w:numPr>
        <w:rPr>
          <w:lang w:eastAsia="zh-TW"/>
        </w:rPr>
      </w:pPr>
      <w:r w:rsidRPr="005345AF">
        <w:rPr>
          <w:lang w:eastAsia="zh-TW"/>
        </w:rPr>
        <w:t>HARQ RTT Timer: the MAC entity starts drx-RetransmissionTimer.</w:t>
      </w:r>
    </w:p>
    <w:p w14:paraId="43115B2D" w14:textId="06AB3851" w:rsidR="005345AF" w:rsidRDefault="005345AF" w:rsidP="005345AF">
      <w:pPr>
        <w:rPr>
          <w:lang w:eastAsia="zh-TW"/>
        </w:rPr>
      </w:pPr>
      <w:r w:rsidRPr="005345AF">
        <w:rPr>
          <w:lang w:eastAsia="zh-TW"/>
        </w:rPr>
        <w:t>Since RAN2 has agreed enhancement on the HARQ-RTT timer is essential, PDCCH monitoring when a DRX cycle is configured shall be left to RAN2.</w:t>
      </w:r>
    </w:p>
    <w:p w14:paraId="719C32CC" w14:textId="741F2B25" w:rsidR="005345AF" w:rsidRDefault="005345AF" w:rsidP="00C8743C">
      <w:pPr>
        <w:pStyle w:val="Proposal"/>
        <w:spacing w:before="240"/>
        <w:ind w:left="1310" w:hanging="1310"/>
        <w:rPr>
          <w:lang w:eastAsia="zh-TW"/>
        </w:rPr>
      </w:pPr>
      <w:bookmarkStart w:id="4" w:name="_Toc71202651"/>
      <w:r w:rsidRPr="005345AF">
        <w:rPr>
          <w:lang w:eastAsia="zh-TW"/>
        </w:rPr>
        <w:t>PDCCH monitoring when a DRX cycle is configured shall be left to RAN2</w:t>
      </w:r>
      <w:r>
        <w:rPr>
          <w:lang w:eastAsia="zh-TW"/>
        </w:rPr>
        <w:t>.</w:t>
      </w:r>
      <w:bookmarkEnd w:id="4"/>
    </w:p>
    <w:p w14:paraId="6AC72253" w14:textId="77777777" w:rsidR="005345AF" w:rsidRPr="005345AF" w:rsidRDefault="005345AF" w:rsidP="005345AF">
      <w:pPr>
        <w:pStyle w:val="Proposal"/>
        <w:numPr>
          <w:ilvl w:val="0"/>
          <w:numId w:val="0"/>
        </w:numPr>
        <w:spacing w:after="0"/>
        <w:ind w:left="1304" w:hanging="1304"/>
        <w:rPr>
          <w:lang w:eastAsia="zh-TW"/>
        </w:rPr>
      </w:pPr>
    </w:p>
    <w:p w14:paraId="42044CA2" w14:textId="77777777" w:rsidR="00E65ED1" w:rsidRDefault="00A558B4" w:rsidP="00644835">
      <w:pPr>
        <w:pStyle w:val="Heading1"/>
        <w:snapToGrid w:val="0"/>
        <w:jc w:val="both"/>
      </w:pPr>
      <w:r>
        <w:t>Conclusion</w:t>
      </w:r>
    </w:p>
    <w:p w14:paraId="44ECA10B" w14:textId="77777777" w:rsidR="00C8743C"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44EAF33F" w14:textId="77777777" w:rsidR="00C8743C" w:rsidRDefault="00B0514B">
      <w:pPr>
        <w:pStyle w:val="TOC1"/>
        <w:rPr>
          <w:rFonts w:eastAsiaTheme="minorEastAsia" w:cstheme="minorBidi"/>
          <w:b w:val="0"/>
          <w:sz w:val="22"/>
          <w:szCs w:val="22"/>
          <w:lang w:eastAsia="zh-TW"/>
        </w:rPr>
      </w:pPr>
      <w:hyperlink w:anchor="_Toc71202647" w:history="1">
        <w:r w:rsidR="00C8743C" w:rsidRPr="00BF2D31">
          <w:rPr>
            <w:rStyle w:val="Hyperlink"/>
          </w:rPr>
          <w:t>Observation 1</w:t>
        </w:r>
        <w:r w:rsidR="00C8743C">
          <w:rPr>
            <w:rFonts w:eastAsiaTheme="minorEastAsia" w:cstheme="minorBidi"/>
            <w:b w:val="0"/>
            <w:sz w:val="22"/>
            <w:szCs w:val="22"/>
            <w:lang w:eastAsia="zh-TW"/>
          </w:rPr>
          <w:tab/>
        </w:r>
        <w:r w:rsidR="00C8743C" w:rsidRPr="00BF2D31">
          <w:rPr>
            <w:rStyle w:val="Hyperlink"/>
          </w:rPr>
          <w:t>RAN2 has agreed that enable and disable HARQ feedback is R2 scope.</w:t>
        </w:r>
      </w:hyperlink>
    </w:p>
    <w:p w14:paraId="04827FF9" w14:textId="77777777" w:rsidR="00C8743C" w:rsidRDefault="00B0514B">
      <w:pPr>
        <w:pStyle w:val="TOC1"/>
        <w:rPr>
          <w:rFonts w:eastAsiaTheme="minorEastAsia" w:cstheme="minorBidi"/>
          <w:b w:val="0"/>
          <w:sz w:val="22"/>
          <w:szCs w:val="22"/>
          <w:lang w:eastAsia="zh-TW"/>
        </w:rPr>
      </w:pPr>
      <w:hyperlink w:anchor="_Toc71202648" w:history="1">
        <w:r w:rsidR="00C8743C" w:rsidRPr="00BF2D31">
          <w:rPr>
            <w:rStyle w:val="Hyperlink"/>
          </w:rPr>
          <w:t>Observation 2</w:t>
        </w:r>
        <w:r w:rsidR="00C8743C">
          <w:rPr>
            <w:rFonts w:eastAsiaTheme="minorEastAsia" w:cstheme="minorBidi"/>
            <w:b w:val="0"/>
            <w:sz w:val="22"/>
            <w:szCs w:val="22"/>
            <w:lang w:eastAsia="zh-TW"/>
          </w:rPr>
          <w:tab/>
        </w:r>
        <w:r w:rsidR="00C8743C" w:rsidRPr="00BF2D31">
          <w:rPr>
            <w:rStyle w:val="Hyperlink"/>
          </w:rPr>
          <w:t>In this release, the MAC entity can disable HARQ feedback by not indicating to the PHY layer.</w:t>
        </w:r>
      </w:hyperlink>
    </w:p>
    <w:p w14:paraId="5CB444E2" w14:textId="391D31A4"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1D823D4C" w14:textId="77777777" w:rsidR="00C8743C"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1202649" w:history="1">
        <w:r w:rsidR="00C8743C" w:rsidRPr="009639F5">
          <w:rPr>
            <w:rStyle w:val="Hyperlink"/>
          </w:rPr>
          <w:t>Proposal 1</w:t>
        </w:r>
        <w:r w:rsidR="00C8743C">
          <w:rPr>
            <w:rFonts w:eastAsiaTheme="minorEastAsia" w:cstheme="minorBidi"/>
            <w:b w:val="0"/>
            <w:sz w:val="22"/>
            <w:szCs w:val="22"/>
            <w:lang w:eastAsia="zh-TW"/>
          </w:rPr>
          <w:tab/>
        </w:r>
        <w:r w:rsidR="00C8743C" w:rsidRPr="009639F5">
          <w:rPr>
            <w:rStyle w:val="Hyperlink"/>
          </w:rPr>
          <w:t>Disabling HARQ feedback for NB-IoT over NTN is recommended not to be discussed in RAN1.</w:t>
        </w:r>
      </w:hyperlink>
    </w:p>
    <w:p w14:paraId="28764345" w14:textId="77777777" w:rsidR="00C8743C" w:rsidRDefault="00B0514B">
      <w:pPr>
        <w:pStyle w:val="TOC1"/>
        <w:rPr>
          <w:rFonts w:eastAsiaTheme="minorEastAsia" w:cstheme="minorBidi"/>
          <w:b w:val="0"/>
          <w:sz w:val="22"/>
          <w:szCs w:val="22"/>
          <w:lang w:eastAsia="zh-TW"/>
        </w:rPr>
      </w:pPr>
      <w:hyperlink w:anchor="_Toc71202650" w:history="1">
        <w:r w:rsidR="00C8743C" w:rsidRPr="009639F5">
          <w:rPr>
            <w:rStyle w:val="Hyperlink"/>
            <w:lang w:eastAsia="zh-TW"/>
          </w:rPr>
          <w:t>Proposal 2</w:t>
        </w:r>
        <w:r w:rsidR="00C8743C">
          <w:rPr>
            <w:rFonts w:eastAsiaTheme="minorEastAsia" w:cstheme="minorBidi"/>
            <w:b w:val="0"/>
            <w:sz w:val="22"/>
            <w:szCs w:val="22"/>
            <w:lang w:eastAsia="zh-TW"/>
          </w:rPr>
          <w:tab/>
        </w:r>
        <w:r w:rsidR="00C8743C" w:rsidRPr="009639F5">
          <w:rPr>
            <w:rStyle w:val="Hyperlink"/>
            <w:lang w:eastAsia="zh-TW"/>
          </w:rPr>
          <w:t>For an NTN UE configured with one HARQ process, when HARQ feedback is enabled, the UE does not monitor PDCCH until the RTT time has elapsed from the end of the PUSCH.</w:t>
        </w:r>
      </w:hyperlink>
    </w:p>
    <w:p w14:paraId="5BFF882B" w14:textId="77777777" w:rsidR="00C8743C" w:rsidRDefault="00B0514B">
      <w:pPr>
        <w:pStyle w:val="TOC1"/>
        <w:rPr>
          <w:rFonts w:eastAsiaTheme="minorEastAsia" w:cstheme="minorBidi"/>
          <w:b w:val="0"/>
          <w:sz w:val="22"/>
          <w:szCs w:val="22"/>
          <w:lang w:eastAsia="zh-TW"/>
        </w:rPr>
      </w:pPr>
      <w:hyperlink w:anchor="_Toc71202651" w:history="1">
        <w:r w:rsidR="00C8743C" w:rsidRPr="009639F5">
          <w:rPr>
            <w:rStyle w:val="Hyperlink"/>
            <w:lang w:eastAsia="zh-TW"/>
          </w:rPr>
          <w:t>Proposal 3</w:t>
        </w:r>
        <w:r w:rsidR="00C8743C">
          <w:rPr>
            <w:rFonts w:eastAsiaTheme="minorEastAsia" w:cstheme="minorBidi"/>
            <w:b w:val="0"/>
            <w:sz w:val="22"/>
            <w:szCs w:val="22"/>
            <w:lang w:eastAsia="zh-TW"/>
          </w:rPr>
          <w:tab/>
        </w:r>
        <w:r w:rsidR="00C8743C" w:rsidRPr="009639F5">
          <w:rPr>
            <w:rStyle w:val="Hyperlink"/>
            <w:lang w:eastAsia="zh-TW"/>
          </w:rPr>
          <w:t>PDCCH monitoring when a DRX cycle is configured shall be left to RAN2.</w:t>
        </w:r>
      </w:hyperlink>
    </w:p>
    <w:p w14:paraId="7014C4E4" w14:textId="7517B07F"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790E45A8" w:rsidR="000A17C4" w:rsidRDefault="000A17C4" w:rsidP="00E232E4">
      <w:pPr>
        <w:pStyle w:val="Reference"/>
      </w:pPr>
      <w:bookmarkStart w:id="5" w:name="_Ref9595909"/>
      <w:bookmarkStart w:id="6" w:name="_Ref16874156"/>
      <w:r w:rsidRPr="000A17C4">
        <w:t>Chairman</w:t>
      </w:r>
      <w:r>
        <w:t>’s</w:t>
      </w:r>
      <w:r w:rsidRPr="000A17C4">
        <w:t xml:space="preserve"> Notes, 3GPP TSG RAN WG1 #10</w:t>
      </w:r>
      <w:r w:rsidR="00727EDB">
        <w:t>4b</w:t>
      </w:r>
      <w:r w:rsidRPr="000A17C4">
        <w:t xml:space="preserve"> e-meeting</w:t>
      </w:r>
    </w:p>
    <w:p w14:paraId="404B9072" w14:textId="78E435B6"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727EDB">
        <w:t>3b</w:t>
      </w:r>
      <w:r w:rsidRPr="000A17C4">
        <w:t xml:space="preserve"> e-meeting</w:t>
      </w:r>
    </w:p>
    <w:p w14:paraId="73A54D18" w14:textId="18397539" w:rsidR="009007C9" w:rsidRDefault="00055F40" w:rsidP="00727EDB">
      <w:pPr>
        <w:pStyle w:val="Reference"/>
      </w:pPr>
      <w:r w:rsidRPr="00055F40">
        <w:rPr>
          <w:rFonts w:cs="Arial"/>
        </w:rPr>
        <w:t>3GPP TR 38.821 V16.0.0</w:t>
      </w:r>
      <w:bookmarkEnd w:id="5"/>
      <w:bookmarkEnd w:id="6"/>
      <w:r>
        <w:rPr>
          <w:rFonts w:cs="Arial"/>
        </w:rPr>
        <w:t xml:space="preserve">, </w:t>
      </w:r>
      <w:r w:rsidRPr="00055F40">
        <w:rPr>
          <w:rFonts w:cs="Arial"/>
        </w:rPr>
        <w:t>Solutions for NR to support non-terrestrial networks</w:t>
      </w:r>
      <w:r>
        <w:rPr>
          <w:rFonts w:cs="Arial"/>
        </w:rPr>
        <w:t>, December 2019.</w:t>
      </w:r>
      <w:bookmarkStart w:id="7" w:name="_Hlk61512147"/>
    </w:p>
    <w:p w14:paraId="2741C72C" w14:textId="2282CC68" w:rsidR="00727EDB" w:rsidRDefault="00B0514B" w:rsidP="00E232E4">
      <w:pPr>
        <w:pStyle w:val="Reference"/>
      </w:pPr>
      <w:hyperlink r:id="rId14" w:history="1">
        <w:r w:rsidR="00727EDB" w:rsidRPr="002F7DCC">
          <w:rPr>
            <w:rStyle w:val="Hyperlink"/>
          </w:rPr>
          <w:t>R1-2103805</w:t>
        </w:r>
      </w:hyperlink>
      <w:r w:rsidR="00727EDB">
        <w:t xml:space="preserve">, </w:t>
      </w:r>
      <w:r w:rsidR="002F7DCC" w:rsidRPr="002F7DCC">
        <w:t>Summary#3 of enhancements on HARQ</w:t>
      </w:r>
      <w:r w:rsidR="002F7DCC">
        <w:t xml:space="preserve">, </w:t>
      </w:r>
      <w:r w:rsidR="002F7DCC" w:rsidRPr="002F7DCC">
        <w:t>Samsung</w:t>
      </w:r>
    </w:p>
    <w:bookmarkEnd w:id="7"/>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2594" w14:textId="77777777" w:rsidR="00B0514B" w:rsidRDefault="00B0514B" w:rsidP="0063297B">
      <w:pPr>
        <w:spacing w:after="0"/>
      </w:pPr>
      <w:r>
        <w:separator/>
      </w:r>
    </w:p>
  </w:endnote>
  <w:endnote w:type="continuationSeparator" w:id="0">
    <w:p w14:paraId="7EDD80E0" w14:textId="77777777" w:rsidR="00B0514B" w:rsidRDefault="00B0514B" w:rsidP="0063297B">
      <w:pPr>
        <w:spacing w:after="0"/>
      </w:pPr>
      <w:r>
        <w:continuationSeparator/>
      </w:r>
    </w:p>
  </w:endnote>
  <w:endnote w:type="continuationNotice" w:id="1">
    <w:p w14:paraId="07B54FD3" w14:textId="77777777" w:rsidR="00B0514B" w:rsidRDefault="00B05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988D9" w14:textId="77777777" w:rsidR="00B0514B" w:rsidRDefault="00B0514B" w:rsidP="0063297B">
      <w:pPr>
        <w:spacing w:after="0"/>
      </w:pPr>
      <w:r>
        <w:separator/>
      </w:r>
    </w:p>
  </w:footnote>
  <w:footnote w:type="continuationSeparator" w:id="0">
    <w:p w14:paraId="4C123A93" w14:textId="77777777" w:rsidR="00B0514B" w:rsidRDefault="00B0514B" w:rsidP="0063297B">
      <w:pPr>
        <w:spacing w:after="0"/>
      </w:pPr>
      <w:r>
        <w:continuationSeparator/>
      </w:r>
    </w:p>
  </w:footnote>
  <w:footnote w:type="continuationNotice" w:id="1">
    <w:p w14:paraId="1810114B" w14:textId="77777777" w:rsidR="00B0514B" w:rsidRDefault="00B051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04345"/>
    <w:multiLevelType w:val="hybridMultilevel"/>
    <w:tmpl w:val="BAD86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F4087"/>
    <w:multiLevelType w:val="hybridMultilevel"/>
    <w:tmpl w:val="F404C402"/>
    <w:lvl w:ilvl="0" w:tplc="567AF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120B6"/>
    <w:multiLevelType w:val="hybridMultilevel"/>
    <w:tmpl w:val="7F241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2B0AE72"/>
    <w:lvl w:ilvl="0" w:tplc="C2BC370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934C6"/>
    <w:multiLevelType w:val="hybridMultilevel"/>
    <w:tmpl w:val="ACF23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4"/>
  </w:num>
  <w:num w:numId="5">
    <w:abstractNumId w:val="24"/>
  </w:num>
  <w:num w:numId="6">
    <w:abstractNumId w:val="3"/>
  </w:num>
  <w:num w:numId="7">
    <w:abstractNumId w:val="28"/>
  </w:num>
  <w:num w:numId="8">
    <w:abstractNumId w:val="30"/>
  </w:num>
  <w:num w:numId="9">
    <w:abstractNumId w:val="7"/>
  </w:num>
  <w:num w:numId="10">
    <w:abstractNumId w:val="31"/>
  </w:num>
  <w:num w:numId="11">
    <w:abstractNumId w:val="16"/>
  </w:num>
  <w:num w:numId="12">
    <w:abstractNumId w:val="22"/>
  </w:num>
  <w:num w:numId="13">
    <w:abstractNumId w:val="1"/>
  </w:num>
  <w:num w:numId="14">
    <w:abstractNumId w:val="21"/>
  </w:num>
  <w:num w:numId="15">
    <w:abstractNumId w:val="4"/>
  </w:num>
  <w:num w:numId="16">
    <w:abstractNumId w:val="25"/>
  </w:num>
  <w:num w:numId="17">
    <w:abstractNumId w:val="10"/>
  </w:num>
  <w:num w:numId="18">
    <w:abstractNumId w:val="33"/>
  </w:num>
  <w:num w:numId="19">
    <w:abstractNumId w:val="0"/>
  </w:num>
  <w:num w:numId="20">
    <w:abstractNumId w:val="32"/>
  </w:num>
  <w:num w:numId="21">
    <w:abstractNumId w:val="12"/>
  </w:num>
  <w:num w:numId="22">
    <w:abstractNumId w:val="26"/>
  </w:num>
  <w:num w:numId="23">
    <w:abstractNumId w:val="34"/>
  </w:num>
  <w:num w:numId="24">
    <w:abstractNumId w:val="13"/>
  </w:num>
  <w:num w:numId="25">
    <w:abstractNumId w:val="29"/>
  </w:num>
  <w:num w:numId="26">
    <w:abstractNumId w:val="19"/>
  </w:num>
  <w:num w:numId="27">
    <w:abstractNumId w:val="18"/>
  </w:num>
  <w:num w:numId="28">
    <w:abstractNumId w:val="17"/>
  </w:num>
  <w:num w:numId="29">
    <w:abstractNumId w:val="35"/>
  </w:num>
  <w:num w:numId="30">
    <w:abstractNumId w:val="15"/>
  </w:num>
  <w:num w:numId="31">
    <w:abstractNumId w:val="20"/>
  </w:num>
  <w:num w:numId="32">
    <w:abstractNumId w:val="27"/>
  </w:num>
  <w:num w:numId="33">
    <w:abstractNumId w:val="11"/>
  </w:num>
  <w:num w:numId="34">
    <w:abstractNumId w:val="9"/>
  </w:num>
  <w:num w:numId="35">
    <w:abstractNumId w:val="23"/>
  </w:num>
  <w:num w:numId="36">
    <w:abstractNumId w:val="6"/>
  </w:num>
  <w:num w:numId="3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GvBQB+2UHqLgAAAA=="/>
  </w:docVars>
  <w:rsids>
    <w:rsidRoot w:val="006A4A78"/>
    <w:rsid w:val="00000FA6"/>
    <w:rsid w:val="0000382C"/>
    <w:rsid w:val="00003AA2"/>
    <w:rsid w:val="00003D59"/>
    <w:rsid w:val="00004A2B"/>
    <w:rsid w:val="00004E8F"/>
    <w:rsid w:val="00006443"/>
    <w:rsid w:val="00006FCB"/>
    <w:rsid w:val="00011505"/>
    <w:rsid w:val="00011A21"/>
    <w:rsid w:val="00014161"/>
    <w:rsid w:val="000164F1"/>
    <w:rsid w:val="00020A7D"/>
    <w:rsid w:val="000222B7"/>
    <w:rsid w:val="00023F41"/>
    <w:rsid w:val="00026B35"/>
    <w:rsid w:val="00030062"/>
    <w:rsid w:val="000305CD"/>
    <w:rsid w:val="0003330B"/>
    <w:rsid w:val="00036240"/>
    <w:rsid w:val="00040844"/>
    <w:rsid w:val="000418A6"/>
    <w:rsid w:val="000421CD"/>
    <w:rsid w:val="000436CD"/>
    <w:rsid w:val="0004466C"/>
    <w:rsid w:val="000501B3"/>
    <w:rsid w:val="000537D6"/>
    <w:rsid w:val="0005532F"/>
    <w:rsid w:val="00055F40"/>
    <w:rsid w:val="00060C6C"/>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1D55"/>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4D6D"/>
    <w:rsid w:val="0010633B"/>
    <w:rsid w:val="001076D2"/>
    <w:rsid w:val="001118DC"/>
    <w:rsid w:val="00120364"/>
    <w:rsid w:val="00120EE7"/>
    <w:rsid w:val="00121950"/>
    <w:rsid w:val="00121AA9"/>
    <w:rsid w:val="00122951"/>
    <w:rsid w:val="0012473C"/>
    <w:rsid w:val="001255FC"/>
    <w:rsid w:val="001300BD"/>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6A6"/>
    <w:rsid w:val="00196E45"/>
    <w:rsid w:val="001973AC"/>
    <w:rsid w:val="001974BD"/>
    <w:rsid w:val="001A5651"/>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3F9"/>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6484"/>
    <w:rsid w:val="00290D43"/>
    <w:rsid w:val="00292790"/>
    <w:rsid w:val="00292A1A"/>
    <w:rsid w:val="0029349D"/>
    <w:rsid w:val="002947BE"/>
    <w:rsid w:val="00296E04"/>
    <w:rsid w:val="002A1292"/>
    <w:rsid w:val="002A1A42"/>
    <w:rsid w:val="002A1C4F"/>
    <w:rsid w:val="002A2446"/>
    <w:rsid w:val="002A27CD"/>
    <w:rsid w:val="002A31E6"/>
    <w:rsid w:val="002A3225"/>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0281"/>
    <w:rsid w:val="002F15A9"/>
    <w:rsid w:val="002F1BD5"/>
    <w:rsid w:val="002F4CE6"/>
    <w:rsid w:val="002F7B8A"/>
    <w:rsid w:val="002F7DCC"/>
    <w:rsid w:val="00303EA2"/>
    <w:rsid w:val="00303F1A"/>
    <w:rsid w:val="00306D3F"/>
    <w:rsid w:val="00306FC1"/>
    <w:rsid w:val="003102DB"/>
    <w:rsid w:val="00311FC9"/>
    <w:rsid w:val="003122C6"/>
    <w:rsid w:val="0031408C"/>
    <w:rsid w:val="003211BF"/>
    <w:rsid w:val="00326933"/>
    <w:rsid w:val="00332483"/>
    <w:rsid w:val="003352D3"/>
    <w:rsid w:val="003368BC"/>
    <w:rsid w:val="00337856"/>
    <w:rsid w:val="00337EC7"/>
    <w:rsid w:val="00340930"/>
    <w:rsid w:val="00340A5E"/>
    <w:rsid w:val="00340E36"/>
    <w:rsid w:val="003442D0"/>
    <w:rsid w:val="003449F5"/>
    <w:rsid w:val="00346ED1"/>
    <w:rsid w:val="003503FC"/>
    <w:rsid w:val="003505C3"/>
    <w:rsid w:val="00355897"/>
    <w:rsid w:val="00357483"/>
    <w:rsid w:val="003607F9"/>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3CE9"/>
    <w:rsid w:val="003A527A"/>
    <w:rsid w:val="003A666D"/>
    <w:rsid w:val="003A6CFF"/>
    <w:rsid w:val="003A76B6"/>
    <w:rsid w:val="003B107F"/>
    <w:rsid w:val="003B4232"/>
    <w:rsid w:val="003B502B"/>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3F76A4"/>
    <w:rsid w:val="0040171C"/>
    <w:rsid w:val="00405441"/>
    <w:rsid w:val="00410971"/>
    <w:rsid w:val="00413AF5"/>
    <w:rsid w:val="00413D5C"/>
    <w:rsid w:val="00415FD7"/>
    <w:rsid w:val="004171CF"/>
    <w:rsid w:val="00420106"/>
    <w:rsid w:val="00420264"/>
    <w:rsid w:val="004203E2"/>
    <w:rsid w:val="00421123"/>
    <w:rsid w:val="0042311E"/>
    <w:rsid w:val="00425244"/>
    <w:rsid w:val="00425C0E"/>
    <w:rsid w:val="00425C93"/>
    <w:rsid w:val="00425F92"/>
    <w:rsid w:val="004261E2"/>
    <w:rsid w:val="0042691F"/>
    <w:rsid w:val="0042740D"/>
    <w:rsid w:val="00427437"/>
    <w:rsid w:val="004276F9"/>
    <w:rsid w:val="00431CDC"/>
    <w:rsid w:val="00432AD4"/>
    <w:rsid w:val="00432CCD"/>
    <w:rsid w:val="00433631"/>
    <w:rsid w:val="00433A2E"/>
    <w:rsid w:val="00437745"/>
    <w:rsid w:val="00441C9E"/>
    <w:rsid w:val="004439C8"/>
    <w:rsid w:val="00444A3E"/>
    <w:rsid w:val="00445A29"/>
    <w:rsid w:val="00447C4B"/>
    <w:rsid w:val="0045160C"/>
    <w:rsid w:val="0045220E"/>
    <w:rsid w:val="00454E41"/>
    <w:rsid w:val="00456894"/>
    <w:rsid w:val="00457B2A"/>
    <w:rsid w:val="00460125"/>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3585"/>
    <w:rsid w:val="00493C71"/>
    <w:rsid w:val="00494427"/>
    <w:rsid w:val="004962C1"/>
    <w:rsid w:val="004964CD"/>
    <w:rsid w:val="004A0649"/>
    <w:rsid w:val="004A067C"/>
    <w:rsid w:val="004A2BB1"/>
    <w:rsid w:val="004A40FE"/>
    <w:rsid w:val="004B2DB2"/>
    <w:rsid w:val="004B462B"/>
    <w:rsid w:val="004B56AE"/>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1B5C"/>
    <w:rsid w:val="00512877"/>
    <w:rsid w:val="00516FA9"/>
    <w:rsid w:val="00520A09"/>
    <w:rsid w:val="005225DB"/>
    <w:rsid w:val="00522BF1"/>
    <w:rsid w:val="00523143"/>
    <w:rsid w:val="00533B6B"/>
    <w:rsid w:val="00533C06"/>
    <w:rsid w:val="00534496"/>
    <w:rsid w:val="005345AF"/>
    <w:rsid w:val="00535AFB"/>
    <w:rsid w:val="00536B25"/>
    <w:rsid w:val="00540DA1"/>
    <w:rsid w:val="00546D32"/>
    <w:rsid w:val="0055061B"/>
    <w:rsid w:val="00550FD9"/>
    <w:rsid w:val="005514A9"/>
    <w:rsid w:val="00552805"/>
    <w:rsid w:val="0055286A"/>
    <w:rsid w:val="00553D6C"/>
    <w:rsid w:val="00556EA5"/>
    <w:rsid w:val="00557C1B"/>
    <w:rsid w:val="00560604"/>
    <w:rsid w:val="00562D9A"/>
    <w:rsid w:val="00562E67"/>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17AB8"/>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4BAC"/>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0056"/>
    <w:rsid w:val="006B13F0"/>
    <w:rsid w:val="006B14E1"/>
    <w:rsid w:val="006B40C4"/>
    <w:rsid w:val="006B76D5"/>
    <w:rsid w:val="006C378D"/>
    <w:rsid w:val="006C3FCB"/>
    <w:rsid w:val="006C627A"/>
    <w:rsid w:val="006C678B"/>
    <w:rsid w:val="006C6CC7"/>
    <w:rsid w:val="006D1968"/>
    <w:rsid w:val="006D6331"/>
    <w:rsid w:val="006E216B"/>
    <w:rsid w:val="006E49AE"/>
    <w:rsid w:val="006E729C"/>
    <w:rsid w:val="006F0C0C"/>
    <w:rsid w:val="006F2A6B"/>
    <w:rsid w:val="006F7095"/>
    <w:rsid w:val="007008FE"/>
    <w:rsid w:val="007037E4"/>
    <w:rsid w:val="007041E8"/>
    <w:rsid w:val="00704522"/>
    <w:rsid w:val="007112C0"/>
    <w:rsid w:val="00711DDA"/>
    <w:rsid w:val="00712CB4"/>
    <w:rsid w:val="00714DA9"/>
    <w:rsid w:val="00721143"/>
    <w:rsid w:val="007213CA"/>
    <w:rsid w:val="007220C1"/>
    <w:rsid w:val="00723DB2"/>
    <w:rsid w:val="00724BA4"/>
    <w:rsid w:val="00725FE1"/>
    <w:rsid w:val="00726351"/>
    <w:rsid w:val="00727EDB"/>
    <w:rsid w:val="007307A2"/>
    <w:rsid w:val="00733F14"/>
    <w:rsid w:val="0073595F"/>
    <w:rsid w:val="00741F9B"/>
    <w:rsid w:val="007456F8"/>
    <w:rsid w:val="00745EC5"/>
    <w:rsid w:val="007461F0"/>
    <w:rsid w:val="007514BA"/>
    <w:rsid w:val="00752DE6"/>
    <w:rsid w:val="0075343A"/>
    <w:rsid w:val="00755B4F"/>
    <w:rsid w:val="0075637F"/>
    <w:rsid w:val="00762760"/>
    <w:rsid w:val="00763F72"/>
    <w:rsid w:val="00765DD3"/>
    <w:rsid w:val="00771943"/>
    <w:rsid w:val="00782162"/>
    <w:rsid w:val="00782615"/>
    <w:rsid w:val="007848ED"/>
    <w:rsid w:val="00790E9B"/>
    <w:rsid w:val="0079355F"/>
    <w:rsid w:val="00793C02"/>
    <w:rsid w:val="007A0E0E"/>
    <w:rsid w:val="007A3170"/>
    <w:rsid w:val="007A345D"/>
    <w:rsid w:val="007A78CA"/>
    <w:rsid w:val="007B59EC"/>
    <w:rsid w:val="007B6C6E"/>
    <w:rsid w:val="007B731A"/>
    <w:rsid w:val="007C0EB9"/>
    <w:rsid w:val="007C10BC"/>
    <w:rsid w:val="007C1338"/>
    <w:rsid w:val="007C28B2"/>
    <w:rsid w:val="007C5417"/>
    <w:rsid w:val="007C5488"/>
    <w:rsid w:val="007C5C0B"/>
    <w:rsid w:val="007C7D76"/>
    <w:rsid w:val="007D05E6"/>
    <w:rsid w:val="007D0E91"/>
    <w:rsid w:val="007D1CFF"/>
    <w:rsid w:val="007D449A"/>
    <w:rsid w:val="007D598C"/>
    <w:rsid w:val="007D653E"/>
    <w:rsid w:val="007D6AEB"/>
    <w:rsid w:val="007D7B08"/>
    <w:rsid w:val="007E038D"/>
    <w:rsid w:val="007E1F66"/>
    <w:rsid w:val="007E6F39"/>
    <w:rsid w:val="007E7AC0"/>
    <w:rsid w:val="007F085D"/>
    <w:rsid w:val="007F0C48"/>
    <w:rsid w:val="007F2633"/>
    <w:rsid w:val="007F4CD9"/>
    <w:rsid w:val="007F6A1B"/>
    <w:rsid w:val="00803236"/>
    <w:rsid w:val="0080453A"/>
    <w:rsid w:val="00804A43"/>
    <w:rsid w:val="00806796"/>
    <w:rsid w:val="00812BAB"/>
    <w:rsid w:val="00813A05"/>
    <w:rsid w:val="00816F22"/>
    <w:rsid w:val="008179D4"/>
    <w:rsid w:val="00824DF7"/>
    <w:rsid w:val="0082650D"/>
    <w:rsid w:val="008265C0"/>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B0A71"/>
    <w:rsid w:val="008B40E1"/>
    <w:rsid w:val="008B461D"/>
    <w:rsid w:val="008C0CE8"/>
    <w:rsid w:val="008C23D2"/>
    <w:rsid w:val="008C39C6"/>
    <w:rsid w:val="008C3DDD"/>
    <w:rsid w:val="008C47FD"/>
    <w:rsid w:val="008C5DC4"/>
    <w:rsid w:val="008C6885"/>
    <w:rsid w:val="008D0926"/>
    <w:rsid w:val="008D2612"/>
    <w:rsid w:val="008D284D"/>
    <w:rsid w:val="008D361B"/>
    <w:rsid w:val="008D36AE"/>
    <w:rsid w:val="008D44F9"/>
    <w:rsid w:val="008D4BFE"/>
    <w:rsid w:val="008D4E79"/>
    <w:rsid w:val="008E0893"/>
    <w:rsid w:val="008E0AD0"/>
    <w:rsid w:val="008E1A41"/>
    <w:rsid w:val="008E1D9C"/>
    <w:rsid w:val="008E3E41"/>
    <w:rsid w:val="008E437B"/>
    <w:rsid w:val="008E461D"/>
    <w:rsid w:val="008E622F"/>
    <w:rsid w:val="008F0C94"/>
    <w:rsid w:val="008F24E5"/>
    <w:rsid w:val="008F382E"/>
    <w:rsid w:val="008F39AD"/>
    <w:rsid w:val="008F4541"/>
    <w:rsid w:val="008F4559"/>
    <w:rsid w:val="008F66E8"/>
    <w:rsid w:val="008F6B08"/>
    <w:rsid w:val="009007C9"/>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603C"/>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10EC"/>
    <w:rsid w:val="0097481C"/>
    <w:rsid w:val="00975525"/>
    <w:rsid w:val="009766C0"/>
    <w:rsid w:val="00977DBC"/>
    <w:rsid w:val="00981EAC"/>
    <w:rsid w:val="00986583"/>
    <w:rsid w:val="00986A2B"/>
    <w:rsid w:val="0098759C"/>
    <w:rsid w:val="00992976"/>
    <w:rsid w:val="00992CAF"/>
    <w:rsid w:val="00995D43"/>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1B1"/>
    <w:rsid w:val="00A23275"/>
    <w:rsid w:val="00A23B5D"/>
    <w:rsid w:val="00A24D74"/>
    <w:rsid w:val="00A25343"/>
    <w:rsid w:val="00A25E20"/>
    <w:rsid w:val="00A33ACF"/>
    <w:rsid w:val="00A34A8B"/>
    <w:rsid w:val="00A34E23"/>
    <w:rsid w:val="00A42551"/>
    <w:rsid w:val="00A43B24"/>
    <w:rsid w:val="00A45103"/>
    <w:rsid w:val="00A45CA8"/>
    <w:rsid w:val="00A52363"/>
    <w:rsid w:val="00A52E75"/>
    <w:rsid w:val="00A5352C"/>
    <w:rsid w:val="00A53B25"/>
    <w:rsid w:val="00A53FA9"/>
    <w:rsid w:val="00A53FC7"/>
    <w:rsid w:val="00A54B6A"/>
    <w:rsid w:val="00A558B4"/>
    <w:rsid w:val="00A573D3"/>
    <w:rsid w:val="00A62ED4"/>
    <w:rsid w:val="00A65475"/>
    <w:rsid w:val="00A708E6"/>
    <w:rsid w:val="00A71F83"/>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0875"/>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575E"/>
    <w:rsid w:val="00AE6B31"/>
    <w:rsid w:val="00AF3589"/>
    <w:rsid w:val="00AF44C1"/>
    <w:rsid w:val="00AF4BC0"/>
    <w:rsid w:val="00AF5CB8"/>
    <w:rsid w:val="00AF6F22"/>
    <w:rsid w:val="00B0014B"/>
    <w:rsid w:val="00B00928"/>
    <w:rsid w:val="00B03B40"/>
    <w:rsid w:val="00B04031"/>
    <w:rsid w:val="00B04FDB"/>
    <w:rsid w:val="00B0514B"/>
    <w:rsid w:val="00B063A6"/>
    <w:rsid w:val="00B06526"/>
    <w:rsid w:val="00B06705"/>
    <w:rsid w:val="00B07285"/>
    <w:rsid w:val="00B10822"/>
    <w:rsid w:val="00B10D68"/>
    <w:rsid w:val="00B10DAE"/>
    <w:rsid w:val="00B12B17"/>
    <w:rsid w:val="00B1386C"/>
    <w:rsid w:val="00B170E9"/>
    <w:rsid w:val="00B203F8"/>
    <w:rsid w:val="00B20FEC"/>
    <w:rsid w:val="00B2189A"/>
    <w:rsid w:val="00B21E1D"/>
    <w:rsid w:val="00B2230B"/>
    <w:rsid w:val="00B227C6"/>
    <w:rsid w:val="00B238C0"/>
    <w:rsid w:val="00B24DE2"/>
    <w:rsid w:val="00B26577"/>
    <w:rsid w:val="00B26F33"/>
    <w:rsid w:val="00B31BAD"/>
    <w:rsid w:val="00B32BAA"/>
    <w:rsid w:val="00B33891"/>
    <w:rsid w:val="00B35EB1"/>
    <w:rsid w:val="00B35F3E"/>
    <w:rsid w:val="00B36AEF"/>
    <w:rsid w:val="00B41E37"/>
    <w:rsid w:val="00B4437E"/>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4DD"/>
    <w:rsid w:val="00B80882"/>
    <w:rsid w:val="00B83814"/>
    <w:rsid w:val="00B85ACC"/>
    <w:rsid w:val="00B85C4E"/>
    <w:rsid w:val="00B926CE"/>
    <w:rsid w:val="00B92E0B"/>
    <w:rsid w:val="00BA149C"/>
    <w:rsid w:val="00BA181B"/>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0860"/>
    <w:rsid w:val="00BE1EF9"/>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43C"/>
    <w:rsid w:val="00C875EB"/>
    <w:rsid w:val="00C9043D"/>
    <w:rsid w:val="00C9202D"/>
    <w:rsid w:val="00C921EF"/>
    <w:rsid w:val="00C9254C"/>
    <w:rsid w:val="00C92BFE"/>
    <w:rsid w:val="00C92C72"/>
    <w:rsid w:val="00C930D5"/>
    <w:rsid w:val="00C93559"/>
    <w:rsid w:val="00C94F6B"/>
    <w:rsid w:val="00C95581"/>
    <w:rsid w:val="00CA0DBF"/>
    <w:rsid w:val="00CA1C82"/>
    <w:rsid w:val="00CA2A35"/>
    <w:rsid w:val="00CA2C16"/>
    <w:rsid w:val="00CA423A"/>
    <w:rsid w:val="00CA65C9"/>
    <w:rsid w:val="00CA65D6"/>
    <w:rsid w:val="00CA6D68"/>
    <w:rsid w:val="00CB001F"/>
    <w:rsid w:val="00CB245F"/>
    <w:rsid w:val="00CB7FD6"/>
    <w:rsid w:val="00CC04FC"/>
    <w:rsid w:val="00CC1BB2"/>
    <w:rsid w:val="00CC278A"/>
    <w:rsid w:val="00CC2862"/>
    <w:rsid w:val="00CC3A74"/>
    <w:rsid w:val="00CC4523"/>
    <w:rsid w:val="00CC5AA4"/>
    <w:rsid w:val="00CC5CBC"/>
    <w:rsid w:val="00CC6AC9"/>
    <w:rsid w:val="00CD18CC"/>
    <w:rsid w:val="00CD4CA0"/>
    <w:rsid w:val="00CD6939"/>
    <w:rsid w:val="00CE149C"/>
    <w:rsid w:val="00CE1EB6"/>
    <w:rsid w:val="00CE3AD4"/>
    <w:rsid w:val="00CE6ABA"/>
    <w:rsid w:val="00CF007C"/>
    <w:rsid w:val="00CF0A0A"/>
    <w:rsid w:val="00CF2030"/>
    <w:rsid w:val="00CF211D"/>
    <w:rsid w:val="00CF2D92"/>
    <w:rsid w:val="00CF4714"/>
    <w:rsid w:val="00CF5B47"/>
    <w:rsid w:val="00CF67D3"/>
    <w:rsid w:val="00CF6C8A"/>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513"/>
    <w:rsid w:val="00D26A00"/>
    <w:rsid w:val="00D27738"/>
    <w:rsid w:val="00D27775"/>
    <w:rsid w:val="00D40635"/>
    <w:rsid w:val="00D41594"/>
    <w:rsid w:val="00D415FF"/>
    <w:rsid w:val="00D436BA"/>
    <w:rsid w:val="00D51CC5"/>
    <w:rsid w:val="00D51E0E"/>
    <w:rsid w:val="00D5268F"/>
    <w:rsid w:val="00D54EBB"/>
    <w:rsid w:val="00D55BC8"/>
    <w:rsid w:val="00D603FE"/>
    <w:rsid w:val="00D626FF"/>
    <w:rsid w:val="00D64898"/>
    <w:rsid w:val="00D65109"/>
    <w:rsid w:val="00D66E2E"/>
    <w:rsid w:val="00D700A8"/>
    <w:rsid w:val="00D709D2"/>
    <w:rsid w:val="00D72ED1"/>
    <w:rsid w:val="00D7382B"/>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47BF5"/>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264F"/>
    <w:rsid w:val="00E940BE"/>
    <w:rsid w:val="00E9628F"/>
    <w:rsid w:val="00E966F4"/>
    <w:rsid w:val="00E967E7"/>
    <w:rsid w:val="00E96865"/>
    <w:rsid w:val="00E97CDF"/>
    <w:rsid w:val="00E97D40"/>
    <w:rsid w:val="00EA303C"/>
    <w:rsid w:val="00EA501D"/>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391"/>
    <w:rsid w:val="00F22524"/>
    <w:rsid w:val="00F25712"/>
    <w:rsid w:val="00F32465"/>
    <w:rsid w:val="00F33C17"/>
    <w:rsid w:val="00F34954"/>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6B3"/>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C8743C"/>
    <w:pPr>
      <w:numPr>
        <w:numId w:val="5"/>
      </w:numPr>
      <w:spacing w:before="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 w:type="paragraph" w:customStyle="1" w:styleId="TH">
    <w:name w:val="TH"/>
    <w:basedOn w:val="Normal"/>
    <w:link w:val="THChar"/>
    <w:qFormat/>
    <w:rsid w:val="00AB0875"/>
    <w:pPr>
      <w:keepNext/>
      <w:keepLines/>
      <w:overflowPunct/>
      <w:autoSpaceDE/>
      <w:autoSpaceDN/>
      <w:adjustRightInd/>
      <w:spacing w:before="60" w:after="180"/>
      <w:jc w:val="center"/>
      <w:textAlignment w:val="auto"/>
    </w:pPr>
    <w:rPr>
      <w:rFonts w:ascii="Arial" w:eastAsia="Times New Roman" w:hAnsi="Arial" w:cs="Times New Roman"/>
      <w:b/>
      <w:lang w:eastAsia="en-US"/>
    </w:rPr>
  </w:style>
  <w:style w:type="character" w:customStyle="1" w:styleId="THChar">
    <w:name w:val="TH Char"/>
    <w:link w:val="TH"/>
    <w:qFormat/>
    <w:rsid w:val="00AB0875"/>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031588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4b-e/Docs/R1-210380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Docs/R1-210380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Docs/R1-2103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3.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3829</TotalTime>
  <Pages>3</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5831</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428</cp:revision>
  <dcterms:created xsi:type="dcterms:W3CDTF">2019-05-24T22:37:00Z</dcterms:created>
  <dcterms:modified xsi:type="dcterms:W3CDTF">2021-05-12T01:12:00Z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